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1"/>
        <w:gridCol w:w="2081"/>
        <w:gridCol w:w="2081"/>
        <w:gridCol w:w="2082"/>
        <w:gridCol w:w="2081"/>
        <w:gridCol w:w="2081"/>
        <w:gridCol w:w="2081"/>
      </w:tblGrid>
      <w:tr>
        <w:tblPrEx>
          <w:shd w:val="clear" w:color="auto" w:fill="bdc0bf"/>
        </w:tblPrEx>
        <w:trPr>
          <w:trHeight w:val="448" w:hRule="atLeast"/>
          <w:tblHeader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6"/>
            <w:gridSpan w:val="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/>
                <w:sz w:val="36"/>
                <w:szCs w:val="36"/>
              </w:rPr>
              <w:t>Rubric  Prima Prova - analisi del testo - classe TERZA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8" w:hRule="atLeast"/>
        </w:trPr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bbbcb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</w:pPr>
            <w:r>
              <w:rPr>
                <w:rFonts w:ascii="Helvetica"/>
                <w:sz w:val="28"/>
                <w:szCs w:val="28"/>
              </w:rPr>
              <w:t>Indicatori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 xml:space="preserve">Livello 1 insufficiente 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4-5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 xml:space="preserve">Livello 2 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 xml:space="preserve">Sufficiente 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6- 6,5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Livello 3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 xml:space="preserve">Discreto 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7 - 7,5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Livello 4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Buono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8 - 8,5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Livello 5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Distinto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9 - 9,5</w:t>
            </w:r>
          </w:p>
        </w:tc>
        <w:tc>
          <w:tcPr>
            <w:tcW w:type="dxa" w:w="208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Livello 6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Ottimo</w:t>
            </w:r>
          </w:p>
          <w:p>
            <w:pPr>
              <w:pStyle w:val="Stile tabella 2"/>
            </w:pPr>
            <w:r>
              <w:rPr>
                <w:rFonts w:ascii="Helvetica"/>
                <w:b w:val="1"/>
                <w:bCs w:val="1"/>
                <w:sz w:val="28"/>
                <w:szCs w:val="28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Comprensione del testo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Scarsa/mediocre comprensione del testo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Adeguata la comprensione del testo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Discreta la comprensione del testo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Pressoch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é </w:t>
            </w:r>
            <w:r>
              <w:rPr>
                <w:rFonts w:ascii="Helvetica" w:cs="Arial Unicode MS" w:hAnsi="Arial Unicode MS" w:eastAsia="Arial Unicode MS"/>
              </w:rPr>
              <w:t xml:space="preserve">completa la comprensione del testo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Completa la comprensione del testo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Eccellente l'interpretazione del testo 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Presenza  di informazioni e riferimenti storico culturali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Carenza / inadeguatezza di informazione e conoscenza dei riferimenti culturali e storici utili per l'interpretazione del testo e dell'autore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Sufficienti o pienamente sufficienti l'informazione e la conoscenza dei riferimenti culturali e storici utili per l'interpretazione del testo e dell'autore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Precise l'informazione e la conoscenza dei riferimenti culturali e storici utili per l'interpretazione del testo e dell'autore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Precise e sicure l'informazione e la conoscenza dei riferimenti culturali e storici utili per l'interpretazione del testo e dell'autore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Ricche l'informazione e la conoscenza dei riferimenti culturali e storici utili per l'interpretazione del testo e dell'autore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Approfondite e esaurienti l'informazione e la conoscenza dei riferimenti culturali e storici utili per l'interpretazione del testo e dell'autore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Ordine e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Vari errori/insicurezze nell'ordine e nella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Qualche insicurezza nell'ordine e nella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Organizzati l'ordine  e la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Ben organizzati l'ordine  e la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Ottimamente articolati l'ordine  e la coerenza logica delle risposte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Perfetti l'ordine  e la coerenza logica delle risposte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Forma linguistica</w:t>
            </w:r>
          </w:p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(ortografia, sintassi, lessico e punteggiatura)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Forma linguistica scorretta/con imprecisioni e impropriet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à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Forma linguistica complessivamente adeguata pur con qualche imprecisione e impropriet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à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Forma linguistica adeguata e appropriata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Forma linguistica chiara e scorrevole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Forma linguistica vivace, chiara e scorrevole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Forma linguistica elegante ed efficace 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>Presenza di spunti critici e originali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Non presenti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Non rilevanti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Non rilevanti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Buona capacit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à </w:t>
            </w:r>
            <w:r>
              <w:rPr>
                <w:rFonts w:ascii="Helvetica" w:cs="Arial Unicode MS" w:hAnsi="Arial Unicode MS" w:eastAsia="Arial Unicode MS"/>
              </w:rPr>
              <w:t xml:space="preserve">critica nell'interpretazione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Ottima capacit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à </w:t>
            </w:r>
            <w:r>
              <w:rPr>
                <w:rFonts w:ascii="Helvetica" w:cs="Arial Unicode MS" w:hAnsi="Arial Unicode MS" w:eastAsia="Arial Unicode MS"/>
              </w:rPr>
              <w:t xml:space="preserve">critica nell'interpretazione  e nei collegamenti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" w:cs="Arial Unicode MS" w:hAnsi="Arial Unicode MS" w:eastAsia="Arial Unicode MS"/>
              </w:rPr>
              <w:t>Eccellente e originale la capacit</w:t>
            </w:r>
            <w:r>
              <w:rPr>
                <w:rFonts w:ascii="Arial Unicode MS" w:cs="Arial Unicode MS" w:hAnsi="Arial Unicode MS" w:eastAsia="Arial Unicode MS" w:hint="default"/>
              </w:rPr>
              <w:t xml:space="preserve">à </w:t>
            </w:r>
            <w:r>
              <w:rPr>
                <w:rFonts w:ascii="Helvetica" w:cs="Arial Unicode MS" w:hAnsi="Arial Unicode MS" w:eastAsia="Arial Unicode MS"/>
              </w:rPr>
              <w:t xml:space="preserve">critica nell'interpretazione del testo e nei riferimenti inter e intra  testuali 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" w:cs="Arial Unicode MS" w:hAnsi="Arial Unicode MS" w:eastAsia="Arial Unicode MS"/>
              </w:rPr>
              <w:t xml:space="preserve">Media  degli indicatori  e risultato finale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bidi w:val="0"/>
      </w:pPr>
      <w:r>
        <w:br w:type="page"/>
      </w:r>
    </w:p>
    <w:p>
      <w:pPr>
        <w:pStyle w:val="Corpo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